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5C" w:rsidRDefault="00671C5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671C5C" w:rsidRDefault="00A70D8D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5C" w:rsidRDefault="00A70D8D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671C5C" w:rsidRDefault="00A70D8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671C5C" w:rsidRDefault="00A70D8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671C5C" w:rsidRDefault="00671C5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671C5C" w:rsidRDefault="00A70D8D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67945</wp:posOffset>
                </wp:positionV>
                <wp:extent cx="6666230" cy="1905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671C5C" w:rsidRDefault="00A70D8D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671C5C" w:rsidRDefault="00671C5C">
      <w:pPr>
        <w:jc w:val="center"/>
        <w:rPr>
          <w:rFonts w:hint="eastAsia"/>
        </w:rPr>
      </w:pPr>
    </w:p>
    <w:p w:rsidR="00671C5C" w:rsidRDefault="00671C5C">
      <w:pPr>
        <w:jc w:val="both"/>
        <w:rPr>
          <w:rFonts w:hint="eastAsia"/>
        </w:rPr>
      </w:pPr>
    </w:p>
    <w:p w:rsidR="00671C5C" w:rsidRDefault="00A70D8D">
      <w:pPr>
        <w:jc w:val="center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Почти 325 тысяч детей Волгоградской области </w:t>
      </w:r>
    </w:p>
    <w:p w:rsidR="00671C5C" w:rsidRDefault="00A70D8D">
      <w:pPr>
        <w:jc w:val="center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получили выплаты к новому учебному году</w:t>
      </w:r>
    </w:p>
    <w:p w:rsidR="00671C5C" w:rsidRDefault="00A70D8D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br/>
      </w: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color w:val="212121"/>
          <w:sz w:val="28"/>
          <w:szCs w:val="28"/>
        </w:rPr>
        <w:t xml:space="preserve">Общая сумма выплат, перечисленных волгоградским Отделением Пенсионного фонда России школьникам к новому учебному году, </w:t>
      </w:r>
      <w:r>
        <w:rPr>
          <w:rFonts w:ascii="Liberation Sans" w:hAnsi="Liberation Sans"/>
          <w:color w:val="212121"/>
          <w:sz w:val="28"/>
          <w:szCs w:val="28"/>
        </w:rPr>
        <w:t xml:space="preserve">составила  более 3 миллиардов рублей. Из всех обратившихся за выплатой 99,9% сделали это через портал </w:t>
      </w:r>
      <w:proofErr w:type="spellStart"/>
      <w:r>
        <w:rPr>
          <w:rFonts w:ascii="Liberation Sans" w:hAnsi="Liberation Sans"/>
          <w:color w:val="212121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color w:val="212121"/>
          <w:sz w:val="28"/>
          <w:szCs w:val="28"/>
        </w:rPr>
        <w:t xml:space="preserve"> и получили средства ещё в августе.</w:t>
      </w:r>
    </w:p>
    <w:p w:rsidR="00671C5C" w:rsidRDefault="00A70D8D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На 1 ноября родителями школьников нашего региона в Пенсионный фонд подано более 242 тысяч заявлений. Единовре</w:t>
      </w:r>
      <w:r>
        <w:rPr>
          <w:rFonts w:ascii="Liberation Sans" w:hAnsi="Liberation Sans"/>
          <w:sz w:val="28"/>
          <w:szCs w:val="28"/>
        </w:rPr>
        <w:t xml:space="preserve">менная выплата в 10 </w:t>
      </w:r>
      <w:r>
        <w:rPr>
          <w:rFonts w:ascii="Liberation Sans" w:hAnsi="Liberation Sans"/>
          <w:sz w:val="28"/>
          <w:szCs w:val="28"/>
        </w:rPr>
        <w:t>000</w:t>
      </w:r>
      <w:r>
        <w:rPr>
          <w:rFonts w:ascii="Liberation Sans" w:hAnsi="Liberation Sans"/>
          <w:sz w:val="28"/>
          <w:szCs w:val="28"/>
        </w:rPr>
        <w:t xml:space="preserve"> рублей поступила </w:t>
      </w:r>
      <w:proofErr w:type="spellStart"/>
      <w:r>
        <w:rPr>
          <w:rFonts w:ascii="Liberation Sans" w:hAnsi="Liberation Sans"/>
          <w:sz w:val="28"/>
          <w:szCs w:val="28"/>
        </w:rPr>
        <w:t>волгоградцам</w:t>
      </w:r>
      <w:proofErr w:type="spellEnd"/>
      <w:r>
        <w:rPr>
          <w:rFonts w:ascii="Liberation Sans" w:hAnsi="Liberation Sans"/>
          <w:sz w:val="28"/>
          <w:szCs w:val="28"/>
        </w:rPr>
        <w:t xml:space="preserve"> почти на 325 тысяч детей.</w:t>
      </w:r>
    </w:p>
    <w:p w:rsidR="00671C5C" w:rsidRDefault="00A70D8D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</w:r>
      <w:proofErr w:type="gramStart"/>
      <w:r>
        <w:rPr>
          <w:rFonts w:ascii="Liberation Sans" w:hAnsi="Liberation Sans"/>
          <w:sz w:val="28"/>
          <w:szCs w:val="28"/>
        </w:rPr>
        <w:t>Напомним, что единовременная выплата выплачивалась одному из родителей (усыновителей, опекунов, попечителей) детей в возрасте от 6 до 18 лет (при условии достижения ребёнком в</w:t>
      </w:r>
      <w:r>
        <w:rPr>
          <w:rFonts w:ascii="Liberation Sans" w:hAnsi="Liberation Sans"/>
          <w:sz w:val="28"/>
          <w:szCs w:val="28"/>
        </w:rPr>
        <w:t>озраста 6 лет не позднее 1 сентября</w:t>
      </w:r>
      <w:proofErr w:type="gramEnd"/>
      <w:r>
        <w:rPr>
          <w:rFonts w:ascii="Liberation Sans" w:hAnsi="Liberation Sans"/>
          <w:sz w:val="28"/>
          <w:szCs w:val="28"/>
        </w:rPr>
        <w:t xml:space="preserve"> </w:t>
      </w:r>
      <w:proofErr w:type="gramStart"/>
      <w:r>
        <w:rPr>
          <w:rFonts w:ascii="Liberation Sans" w:hAnsi="Liberation Sans"/>
          <w:sz w:val="28"/>
          <w:szCs w:val="28"/>
        </w:rPr>
        <w:t>2021 г.), а 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  <w:proofErr w:type="gramEnd"/>
      <w:r>
        <w:rPr>
          <w:rFonts w:ascii="Liberation Sans" w:hAnsi="Liberation Sans"/>
          <w:sz w:val="28"/>
          <w:szCs w:val="28"/>
        </w:rPr>
        <w:t xml:space="preserve"> Выплат</w:t>
      </w:r>
      <w:r>
        <w:rPr>
          <w:rFonts w:ascii="Liberation Sans" w:hAnsi="Liberation Sans"/>
          <w:sz w:val="28"/>
          <w:szCs w:val="28"/>
        </w:rPr>
        <w:t>а осуществлялась на каждого ребёнка указанного возраста. Важно, что «школьные» деньги не учитываются в составе доходов семей при предоставлении им мер социальной поддержки.</w:t>
      </w:r>
    </w:p>
    <w:p w:rsidR="00671C5C" w:rsidRDefault="00671C5C">
      <w:pPr>
        <w:pStyle w:val="a6"/>
        <w:rPr>
          <w:rFonts w:hint="eastAsia"/>
          <w:b/>
          <w:bCs/>
          <w:color w:val="006699"/>
        </w:rPr>
      </w:pPr>
    </w:p>
    <w:sectPr w:rsidR="00671C5C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C"/>
    <w:rsid w:val="00671C5C"/>
    <w:rsid w:val="00A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2021-11-09T21:58:00Z</dcterms:created>
  <dcterms:modified xsi:type="dcterms:W3CDTF">2021-11-09T21:58:00Z</dcterms:modified>
  <dc:language>ru-RU</dc:language>
</cp:coreProperties>
</file>