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0AAB" w:rsidRPr="004217D2" w:rsidRDefault="00773B42" w:rsidP="00D70AA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1C1B28"/>
          <w:sz w:val="30"/>
          <w:szCs w:val="30"/>
          <w:bdr w:val="none" w:sz="0" w:space="0" w:color="auto" w:frame="1"/>
          <w:lang w:eastAsia="ru-RU"/>
        </w:rPr>
        <w:t>Новые правила</w:t>
      </w:r>
      <w:r w:rsidR="00D70AAB" w:rsidRPr="004217D2">
        <w:rPr>
          <w:rFonts w:ascii="inherit" w:eastAsia="Times New Roman" w:hAnsi="inherit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  <w:t xml:space="preserve"> передачи объекта долевого строительства</w:t>
      </w:r>
    </w:p>
    <w:p w:rsidR="00D70AAB" w:rsidRPr="004217D2" w:rsidRDefault="00D70AAB" w:rsidP="00D70AA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</w:pP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  <w:tab/>
      </w:r>
      <w:r w:rsidRPr="002069C8"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 xml:space="preserve">С 25 марта 2022 года Правительством Российской Федерации изменен порядок передачи дольщикам объектов долевого строительства, являющихся предметом заключенных ими договоров. Нововведения касаются сроков передачи объекта, уведомлений дольщиков, а также возможности отказа от принятия квартиры. 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</w:pPr>
      <w:r w:rsidRPr="002069C8">
        <w:rPr>
          <w:rFonts w:ascii="Times New Roman" w:eastAsia="Times New Roman" w:hAnsi="Times New Roman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ab/>
      </w:r>
      <w:r w:rsidRPr="002069C8"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>Соответствующее постановление Правительства РФ от 23.03.2022 № 442 размещено на официальном портале правовой информации.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</w:pPr>
      <w:r w:rsidRPr="002069C8"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ab/>
        <w:t>Как же изменилась процедура передачи квартиры в этом году?</w:t>
      </w:r>
    </w:p>
    <w:p w:rsidR="00D70AAB" w:rsidRPr="002069C8" w:rsidRDefault="00D70AAB" w:rsidP="00D70A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eastAsia="Times New Roman" w:hAnsi="Times New Roman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ab/>
      </w:r>
      <w:r w:rsidRPr="002069C8"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>Во-первых, п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 xml:space="preserve">о новым правилам застройщик и дольщик по взаимному соглашению могут изменить срок передачи квартиры отдельно от других объектов того же многоквартирного дома. При этом вносить изменения в проектную декларацию не требуется. Указанный срок может быть изменен </w:t>
      </w:r>
      <w:r w:rsidRPr="002069C8">
        <w:rPr>
          <w:rFonts w:ascii="Times New Roman" w:hAnsi="Times New Roman"/>
          <w:sz w:val="28"/>
          <w:szCs w:val="28"/>
        </w:rPr>
        <w:t>не ранее чем после получения в установленном порядке разрешения на ввод в эксплуатацию многоквартирного дома и (или) иного объекта недвижимости.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1C1B28"/>
          <w:sz w:val="28"/>
          <w:szCs w:val="28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ab/>
        <w:t>Следует отметить, что ранее сроки передачи квартир были привязаны к проектной декларации и были едиными для всех дольщиков, которые приобрели жилье в строящемся доме.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ab/>
        <w:t>Во-вторых, т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еперь застройщики могут официально информировать дольщиков о готовности квартир не только через почтовое уведомление, но и с помощью других каналов, например, электронной почты. При этом электронный адрес обязательно должен быть указан в договоре долевого участия, а направляемые документы – заверены квалифицированной электронной подписью. Если договором предусмотрены другие способы коммуникации с дольщиком, то их также можно использовать.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В-третьих, несколько видоизменилась сама процедура передачи объектов долевого строительства.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Так, Правительство РФ изменило порядок передачи объектов в случае выявления нарушений требований к качеству объекта. Если при приемке были обнаружены существенные нарушения требований к качеству квартиры (например, отсутствуют окна, сантехника и т.д.), то стороны должны перед 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подписанием документа о передаче недвижимости составить акт осмотра при участии специалиста с профильным образованием, обладающего специальными познаниями и необходимой квалификацией.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при приемке будут обнаружены несущественные недостатки (например, сколы сантехники, некачественно установленные межкомнатные двери и т.п.), то стороны должны указать их в акте приема-передачи. Застройщик обязан устранить их за свой счет. При наличии разногласий между застройщиком и дольщиком недостатки определят по акту осмотра, который должен составить специалист.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hAnsi="Times New Roman"/>
          <w:color w:val="121212"/>
          <w:sz w:val="28"/>
          <w:szCs w:val="28"/>
        </w:rPr>
      </w:pPr>
      <w:r w:rsidRPr="002069C8">
        <w:rPr>
          <w:rFonts w:ascii="Times New Roman" w:hAnsi="Times New Roman"/>
          <w:color w:val="121212"/>
          <w:sz w:val="28"/>
          <w:szCs w:val="28"/>
        </w:rPr>
        <w:t xml:space="preserve">Застройщик должен удовлетворить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строительства, а в случае обнаружения существенных нарушений требований к качеству объекта долевого строительства - в срок не более 60 календарных дней со дня составления акта осмотра с участием специалиста. 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hAnsi="Times New Roman"/>
          <w:color w:val="1C1B28"/>
          <w:sz w:val="28"/>
          <w:szCs w:val="28"/>
          <w:shd w:val="clear" w:color="auto" w:fill="FFFFFF"/>
        </w:rPr>
      </w:pPr>
      <w:r w:rsidRPr="002069C8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В случае отказа застройщика добровольно удовлетворить требования о безвозмездном устранении выявленных недостатков по иску дольщика суд снизит стоимость ДДУ на сумму устранения недостатков или обяжет застройщика возместить расходы покупателя.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hAnsi="Times New Roman"/>
          <w:color w:val="121212"/>
          <w:sz w:val="28"/>
          <w:szCs w:val="28"/>
        </w:rPr>
        <w:t xml:space="preserve">Важной новацией 2022 года стала возможность участника долевого строительства отказаться от принятия квартиры </w:t>
      </w:r>
      <w:r w:rsidRPr="002069C8">
        <w:rPr>
          <w:rFonts w:ascii="Times New Roman" w:eastAsia="Times New Roman" w:hAnsi="Times New Roman"/>
          <w:color w:val="1C1B28"/>
          <w:spacing w:val="-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 выявлении существенных недостатков. В этом случае дольщик может потребовать от застройщика выплаты возмещения с процентами.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>Существенными недостатками при приемке квартиры признаются те, при которых жильем невозможно пользоваться. Например, такими недостатками могут являться: неработающая вентиляция, отсутствие сантехники. Несущественными недостатками признаются, например, криво поклеенные обои, порванный натяжной потолок, отпадающий кафель от стены.  </w:t>
      </w:r>
    </w:p>
    <w:p w:rsidR="00D70AAB" w:rsidRPr="004D1DD7" w:rsidRDefault="00D70AAB" w:rsidP="00D70AAB">
      <w:pPr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Кроме того, вводятся новые правила, по которым строительная компания может передать квартиру в одностороннем порядке, если дольщик более месяца игнорирует уведомления о приемке квартиры. 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>Ранее при уклонении участника долевого строительства от приемки квартиры застройщик мог составить односторонний акт по истечении двух месяцев со дня, предусмотренного договором для передачи объекта.</w:t>
      </w:r>
    </w:p>
    <w:p w:rsidR="00D70AAB" w:rsidRPr="004D1DD7" w:rsidRDefault="00D70AAB" w:rsidP="00D70AAB">
      <w:pPr>
        <w:pStyle w:val="a8"/>
        <w:shd w:val="clear" w:color="auto" w:fill="FFFFFF"/>
        <w:spacing w:before="0" w:beforeAutospacing="0"/>
        <w:jc w:val="both"/>
        <w:rPr>
          <w:color w:val="121212"/>
          <w:sz w:val="28"/>
          <w:szCs w:val="28"/>
        </w:rPr>
      </w:pPr>
      <w:r w:rsidRPr="004D1DD7">
        <w:rPr>
          <w:color w:val="121212"/>
          <w:sz w:val="28"/>
          <w:szCs w:val="28"/>
        </w:rPr>
        <w:tab/>
      </w:r>
      <w:r w:rsidR="00241840">
        <w:rPr>
          <w:color w:val="121212"/>
          <w:sz w:val="28"/>
          <w:szCs w:val="28"/>
        </w:rPr>
        <w:t>«</w:t>
      </w:r>
      <w:r w:rsidR="00241840" w:rsidRPr="00241840">
        <w:rPr>
          <w:i/>
          <w:color w:val="121212"/>
          <w:sz w:val="28"/>
          <w:szCs w:val="28"/>
        </w:rPr>
        <w:t>Р</w:t>
      </w:r>
      <w:r w:rsidRPr="00241840">
        <w:rPr>
          <w:i/>
          <w:color w:val="121212"/>
          <w:sz w:val="28"/>
          <w:szCs w:val="28"/>
        </w:rPr>
        <w:t>ассмотренные выше новации законодательства будут действовать только до конца этого года. Надеемся, что указанные нововведения продолжат свое действие и в следующем году, так как их актуальность и своев</w:t>
      </w:r>
      <w:r w:rsidR="00241840" w:rsidRPr="00241840">
        <w:rPr>
          <w:i/>
          <w:color w:val="121212"/>
          <w:sz w:val="28"/>
          <w:szCs w:val="28"/>
        </w:rPr>
        <w:t>ременность сомнений не вызывает</w:t>
      </w:r>
      <w:r w:rsidR="00241840">
        <w:rPr>
          <w:color w:val="121212"/>
          <w:sz w:val="28"/>
          <w:szCs w:val="28"/>
        </w:rPr>
        <w:t xml:space="preserve">», - прокомментировала заместитель руководителя Управления Росреестра по Волгоградской области </w:t>
      </w:r>
      <w:r w:rsidR="00241840" w:rsidRPr="00241840">
        <w:rPr>
          <w:b/>
          <w:color w:val="121212"/>
          <w:sz w:val="28"/>
          <w:szCs w:val="28"/>
        </w:rPr>
        <w:t>Татьяна Кривова</w:t>
      </w:r>
      <w:r w:rsidR="00241840">
        <w:rPr>
          <w:color w:val="121212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1EE6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2022-07-08T18:47:00Z</dcterms:created>
  <dcterms:modified xsi:type="dcterms:W3CDTF">2022-07-08T18:47:00Z</dcterms:modified>
</cp:coreProperties>
</file>