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B5" w:rsidRDefault="004675BD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0E5DB5" w:rsidRDefault="004675BD">
      <w:pPr>
        <w:pStyle w:val="a7"/>
      </w:pPr>
      <w:r>
        <w:rPr>
          <w:sz w:val="32"/>
        </w:rPr>
        <w:t xml:space="preserve">ОТДЕЛЕНИЯ ФОНДА ПЕНСИОННОГО </w:t>
      </w:r>
    </w:p>
    <w:p w:rsidR="000E5DB5" w:rsidRDefault="004675BD">
      <w:pPr>
        <w:pStyle w:val="a7"/>
      </w:pPr>
      <w:r>
        <w:rPr>
          <w:sz w:val="32"/>
        </w:rPr>
        <w:t xml:space="preserve">И СОЦИАЛЬНОГО СТРАХОВАНИЯ </w:t>
      </w:r>
    </w:p>
    <w:p w:rsidR="000E5DB5" w:rsidRDefault="004675BD">
      <w:pPr>
        <w:pStyle w:val="a7"/>
      </w:pPr>
      <w:r>
        <w:rPr>
          <w:sz w:val="32"/>
        </w:rPr>
        <w:t>РОССИЙСКОЙ ФЕДЕРАЦИИ</w:t>
      </w:r>
    </w:p>
    <w:p w:rsidR="000E5DB5" w:rsidRDefault="004675BD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0E5DB5" w:rsidRDefault="000E5DB5">
      <w:pPr>
        <w:pStyle w:val="a7"/>
        <w:ind w:left="142"/>
        <w:outlineLvl w:val="0"/>
        <w:rPr>
          <w:sz w:val="32"/>
        </w:rPr>
      </w:pPr>
    </w:p>
    <w:p w:rsidR="000E5DB5" w:rsidRDefault="004675BD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0E5DB5" w:rsidRDefault="000E5DB5">
      <w:pPr>
        <w:pStyle w:val="ab"/>
        <w:ind w:left="1620"/>
        <w:jc w:val="center"/>
        <w:rPr>
          <w:b/>
          <w:bCs/>
          <w:sz w:val="28"/>
        </w:rPr>
      </w:pPr>
    </w:p>
    <w:p w:rsidR="000E5DB5" w:rsidRDefault="004675BD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0E5DB5" w:rsidRDefault="000E5DB5">
      <w:pPr>
        <w:pStyle w:val="ab"/>
        <w:jc w:val="left"/>
        <w:rPr>
          <w:b/>
          <w:bCs/>
        </w:rPr>
      </w:pPr>
    </w:p>
    <w:p w:rsidR="000E5DB5" w:rsidRDefault="004675BD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0E5DB5" w:rsidRDefault="000E5DB5">
      <w:pPr>
        <w:jc w:val="center"/>
        <w:rPr>
          <w:b/>
          <w:bCs/>
          <w:sz w:val="28"/>
          <w:szCs w:val="28"/>
        </w:rPr>
      </w:pPr>
    </w:p>
    <w:p w:rsidR="000E5DB5" w:rsidRDefault="004675B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Отделение СФР по Волгоградской области компенсировало расходы </w:t>
      </w:r>
    </w:p>
    <w:p w:rsidR="000E5DB5" w:rsidRDefault="004675B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охрану труда 303 работодателям региона в 2023 году</w:t>
      </w:r>
    </w:p>
    <w:p w:rsidR="000E5DB5" w:rsidRDefault="004675B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Отделение СФР по Волгоградской области компенсирует работодателям их затраты на пр</w:t>
      </w:r>
      <w:r>
        <w:rPr>
          <w:rFonts w:ascii="Times New Roman" w:hAnsi="Times New Roman"/>
          <w:sz w:val="26"/>
          <w:szCs w:val="26"/>
        </w:rPr>
        <w:t>едупредительные меры,  направленные на сокращение производственного травматизма и профессиональных заболеваний. В 2023 году на эти цели ведомство направило более 141 миллиона  рублей 303 работодателям региона.</w:t>
      </w:r>
    </w:p>
    <w:p w:rsidR="000E5DB5" w:rsidRDefault="004675B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Региональное Отделение Социального фонда принимает от страхователей (работодателей) соответствующие заявления и документы на финансовое обеспечение с начала года и до              1 августа. В этом году ОСФР планирует компенсировать расходы работодателей н</w:t>
      </w:r>
      <w:r>
        <w:rPr>
          <w:rFonts w:ascii="Times New Roman" w:hAnsi="Times New Roman"/>
          <w:sz w:val="26"/>
          <w:szCs w:val="26"/>
        </w:rPr>
        <w:t>а сумму 179,3 миллиона рублей.</w:t>
      </w:r>
    </w:p>
    <w:p w:rsidR="000E5DB5" w:rsidRDefault="004675B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Работодатели могут направить средства на 16 мероприятий. К ним относятся:</w:t>
      </w:r>
    </w:p>
    <w:p w:rsidR="000E5DB5" w:rsidRDefault="004675B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Liberation Serif;Times New Roma" w:hAnsi="Times New Roman" w:cs="Liberation Serif;Times New Roma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проведение обязательных медосмотров работников;</w:t>
      </w:r>
    </w:p>
    <w:p w:rsidR="000E5DB5" w:rsidRDefault="004675B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Liberation Serif;Times New Roma" w:hAnsi="Times New Roman" w:cs="Liberation Serif;Times New Roma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приобретение средств индивидуальной защиты персонала;</w:t>
      </w:r>
    </w:p>
    <w:p w:rsidR="000E5DB5" w:rsidRDefault="004675B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Liberation Serif;Times New Roma" w:hAnsi="Times New Roman" w:cs="Liberation Serif;Times New Roma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 xml:space="preserve">проведение </w:t>
      </w:r>
      <w:proofErr w:type="spellStart"/>
      <w:r>
        <w:rPr>
          <w:rFonts w:ascii="Times New Roman" w:hAnsi="Times New Roman"/>
          <w:sz w:val="26"/>
          <w:szCs w:val="26"/>
        </w:rPr>
        <w:t>спецоценки</w:t>
      </w:r>
      <w:proofErr w:type="spellEnd"/>
      <w:r>
        <w:rPr>
          <w:rFonts w:ascii="Times New Roman" w:hAnsi="Times New Roman"/>
          <w:sz w:val="26"/>
          <w:szCs w:val="26"/>
        </w:rPr>
        <w:t xml:space="preserve"> условий труда;</w:t>
      </w:r>
    </w:p>
    <w:p w:rsidR="000E5DB5" w:rsidRDefault="004675B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Liberation Serif;Times New Roma" w:hAnsi="Times New Roman" w:cs="Liberation Serif;Times New Roma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орга</w:t>
      </w:r>
      <w:r>
        <w:rPr>
          <w:rFonts w:ascii="Times New Roman" w:hAnsi="Times New Roman"/>
          <w:sz w:val="26"/>
          <w:szCs w:val="26"/>
        </w:rPr>
        <w:t xml:space="preserve">низация санаторно-курортного лечения работников вредных производств и </w:t>
      </w:r>
      <w:proofErr w:type="spellStart"/>
      <w:r>
        <w:rPr>
          <w:rFonts w:ascii="Times New Roman" w:hAnsi="Times New Roman"/>
          <w:sz w:val="26"/>
          <w:szCs w:val="26"/>
        </w:rPr>
        <w:t>предпенсионеров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0E5DB5" w:rsidRDefault="004675B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Liberation Serif;Times New Roma" w:hAnsi="Times New Roman" w:cs="Liberation Serif;Times New Roma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обеспечение сотрудников лечебно-профилактическим питанием;</w:t>
      </w:r>
    </w:p>
    <w:p w:rsidR="000E5DB5" w:rsidRDefault="004675B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Liberation Serif;Times New Roma" w:hAnsi="Times New Roman" w:cs="Liberation Serif;Times New Roma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приобретение аптечек, приборов наблюдения за безопасностью технологических процессов;</w:t>
      </w:r>
    </w:p>
    <w:p w:rsidR="000E5DB5" w:rsidRDefault="004675B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Liberation Serif;Times New Roma" w:hAnsi="Times New Roman" w:cs="Liberation Serif;Times New Roma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и т.д.</w:t>
      </w:r>
    </w:p>
    <w:p w:rsidR="000E5DB5" w:rsidRDefault="004675B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Изначально </w:t>
      </w:r>
      <w:r>
        <w:rPr>
          <w:rFonts w:ascii="Times New Roman" w:hAnsi="Times New Roman"/>
          <w:sz w:val="26"/>
          <w:szCs w:val="26"/>
        </w:rPr>
        <w:t>эти мероприятия работодатели проводят за свой счёт, а затем Отделение СФР возмещает расходы в пределах установленных сумм. Как правило, это 20% от страховых взносов, начисленных предприятиями за предшествующий календарный год за вычетом расходов на обязате</w:t>
      </w:r>
      <w:r>
        <w:rPr>
          <w:rFonts w:ascii="Times New Roman" w:hAnsi="Times New Roman"/>
          <w:sz w:val="26"/>
          <w:szCs w:val="26"/>
        </w:rPr>
        <w:t xml:space="preserve">льное социальное страхование от несчастных случаев на производстве и </w:t>
      </w:r>
      <w:r>
        <w:rPr>
          <w:rFonts w:ascii="Times New Roman" w:hAnsi="Times New Roman"/>
          <w:sz w:val="26"/>
          <w:szCs w:val="26"/>
        </w:rPr>
        <w:lastRenderedPageBreak/>
        <w:t xml:space="preserve">профзаболеваний. Объём средств может быть увеличен до 30%, если в план финансового обеспечения включается санаторно-курортное лечение работников </w:t>
      </w:r>
      <w:proofErr w:type="spellStart"/>
      <w:r>
        <w:rPr>
          <w:rFonts w:ascii="Times New Roman" w:hAnsi="Times New Roman"/>
          <w:sz w:val="26"/>
          <w:szCs w:val="26"/>
        </w:rPr>
        <w:t>предпенсионного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возраста.</w:t>
      </w:r>
    </w:p>
    <w:p w:rsidR="000E5DB5" w:rsidRDefault="004675B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 более подробн</w:t>
      </w:r>
      <w:r>
        <w:rPr>
          <w:rFonts w:ascii="Times New Roman" w:hAnsi="Times New Roman"/>
          <w:sz w:val="26"/>
          <w:szCs w:val="26"/>
        </w:rPr>
        <w:t>ой информацией можно ознакомиться на сайте ОСФР в разделе «Предупредительные меры по сокращению производственного травматизма и профессиональных заболеваний». Обращаем внимание, что для оперативного решения возникающих вопросов работает Единый региональный</w:t>
      </w:r>
      <w:r>
        <w:rPr>
          <w:rFonts w:ascii="Times New Roman" w:hAnsi="Times New Roman"/>
          <w:sz w:val="26"/>
          <w:szCs w:val="26"/>
        </w:rPr>
        <w:t xml:space="preserve"> контакт-центр для страхователей: (8442) 95-37-71.</w:t>
      </w:r>
    </w:p>
    <w:p w:rsidR="000E5DB5" w:rsidRDefault="000E5DB5">
      <w:pPr>
        <w:jc w:val="both"/>
        <w:rPr>
          <w:rFonts w:ascii="Times New Roman" w:hAnsi="Times New Roman"/>
          <w:sz w:val="26"/>
          <w:szCs w:val="26"/>
        </w:rPr>
      </w:pPr>
    </w:p>
    <w:sectPr w:rsidR="000E5DB5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B5"/>
    <w:rsid w:val="000E5DB5"/>
    <w:rsid w:val="0046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2024-02-13T16:57:00Z</dcterms:created>
  <dcterms:modified xsi:type="dcterms:W3CDTF">2024-02-13T16:57:00Z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